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3DC4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35AE70" wp14:editId="2E71D83A">
            <wp:simplePos x="0" y="0"/>
            <wp:positionH relativeFrom="column">
              <wp:posOffset>238125</wp:posOffset>
            </wp:positionH>
            <wp:positionV relativeFrom="paragraph">
              <wp:posOffset>180975</wp:posOffset>
            </wp:positionV>
            <wp:extent cx="1181100" cy="959485"/>
            <wp:effectExtent l="0" t="0" r="0" b="0"/>
            <wp:wrapNone/>
            <wp:docPr id="2" name="Image 2" descr="C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C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18"/>
          <w:szCs w:val="18"/>
        </w:rPr>
        <w:t>République Française</w:t>
      </w:r>
    </w:p>
    <w:p w14:paraId="262043A0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COMMUNAUTE DE COMMUNES CCA 800</w:t>
      </w:r>
    </w:p>
    <w:p w14:paraId="3ECF062D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 Espace Levier – Val d’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Usiers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 »</w:t>
      </w:r>
    </w:p>
    <w:p w14:paraId="272CB6E7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25270 LEVIER</w:t>
      </w:r>
    </w:p>
    <w:p w14:paraId="79718B7D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18"/>
        </w:rPr>
      </w:pPr>
    </w:p>
    <w:p w14:paraId="140136DE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DEPARTEMENT DU DOUBS</w:t>
      </w:r>
    </w:p>
    <w:p w14:paraId="0DA2B140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ARRONDISSEMENT DE PONTARLIER</w:t>
      </w:r>
    </w:p>
    <w:p w14:paraId="3576AC7B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CANTONS DE FRASNE ET ORNANS</w:t>
      </w:r>
    </w:p>
    <w:p w14:paraId="24C3C86C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05EC93A1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sz w:val="8"/>
          <w:szCs w:val="18"/>
        </w:rPr>
      </w:pPr>
    </w:p>
    <w:p w14:paraId="5FE84A66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EXTRAIT DU REGISTRE DES DELIBERATIONS</w:t>
      </w:r>
    </w:p>
    <w:p w14:paraId="6D7B0CC2" w14:textId="77777777" w:rsidR="001E3961" w:rsidRDefault="001E3961" w:rsidP="001E396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SEANCE DU 02 MAI 2022</w:t>
      </w:r>
    </w:p>
    <w:p w14:paraId="24A56949" w14:textId="77777777" w:rsidR="001E3961" w:rsidRPr="001E3961" w:rsidRDefault="001E3961" w:rsidP="001E3961">
      <w:pPr>
        <w:autoSpaceDE w:val="0"/>
        <w:autoSpaceDN w:val="0"/>
        <w:adjustRightInd w:val="0"/>
        <w:jc w:val="both"/>
        <w:rPr>
          <w:rFonts w:cs="Calibri"/>
          <w:sz w:val="16"/>
          <w:szCs w:val="16"/>
          <w:u w:val="single"/>
        </w:rPr>
      </w:pPr>
    </w:p>
    <w:p w14:paraId="78C4E444" w14:textId="77777777" w:rsidR="001E3961" w:rsidRDefault="001E3961" w:rsidP="001E39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u w:val="single"/>
        </w:rPr>
        <w:t xml:space="preserve">Convocation en date du : </w:t>
      </w:r>
      <w:r>
        <w:rPr>
          <w:rFonts w:cs="Calibri"/>
        </w:rPr>
        <w:t>26 avril 2022</w:t>
      </w:r>
    </w:p>
    <w:p w14:paraId="3476013C" w14:textId="77777777" w:rsidR="001E3961" w:rsidRDefault="001E3961" w:rsidP="001E39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u w:val="single"/>
        </w:rPr>
        <w:t>Présidence :</w:t>
      </w:r>
      <w:r>
        <w:rPr>
          <w:rFonts w:cs="Calibri"/>
        </w:rPr>
        <w:t xml:space="preserve"> Monsieur COURVOISIER Claude</w:t>
      </w:r>
    </w:p>
    <w:p w14:paraId="2E1A3071" w14:textId="77777777" w:rsidR="001E3961" w:rsidRDefault="001E3961" w:rsidP="001E39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u w:val="single"/>
        </w:rPr>
        <w:t>Lieu :</w:t>
      </w:r>
      <w:r>
        <w:rPr>
          <w:rFonts w:cs="Calibri"/>
        </w:rPr>
        <w:t xml:space="preserve"> Salle du Conseil_ Mairie de Levier </w:t>
      </w:r>
    </w:p>
    <w:p w14:paraId="3DC12A21" w14:textId="77777777" w:rsidR="001E3961" w:rsidRDefault="001E3961" w:rsidP="001E39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u w:val="single"/>
        </w:rPr>
        <w:t>Membres en exercice :</w:t>
      </w:r>
      <w:r>
        <w:rPr>
          <w:rFonts w:cs="Calibri"/>
        </w:rPr>
        <w:t xml:space="preserve"> 24</w:t>
      </w:r>
    </w:p>
    <w:p w14:paraId="367A0DFA" w14:textId="77777777" w:rsidR="001E3961" w:rsidRDefault="001E3961" w:rsidP="001E39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u w:val="single"/>
        </w:rPr>
        <w:t>Secrétaire de séance :</w:t>
      </w:r>
      <w:r>
        <w:rPr>
          <w:rFonts w:cs="Calibri"/>
        </w:rPr>
        <w:t xml:space="preserve"> Marie-Claire MONNIN</w:t>
      </w:r>
    </w:p>
    <w:p w14:paraId="03770F6F" w14:textId="77777777" w:rsidR="001E3961" w:rsidRDefault="001E3961" w:rsidP="001E39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i/>
          <w:iCs/>
        </w:rPr>
        <w:t>Présents </w:t>
      </w:r>
      <w:r>
        <w:rPr>
          <w:rFonts w:cs="Calibri"/>
        </w:rPr>
        <w:t xml:space="preserve">: </w:t>
      </w:r>
      <w:r>
        <w:rPr>
          <w:rFonts w:cstheme="minorHAnsi"/>
          <w:b/>
          <w:bCs/>
        </w:rPr>
        <w:t>Arc-sous-Montenot</w:t>
      </w:r>
      <w:r>
        <w:rPr>
          <w:rFonts w:cstheme="minorHAnsi"/>
        </w:rPr>
        <w:t xml:space="preserve"> Patrick GRILLON </w:t>
      </w:r>
      <w:proofErr w:type="spellStart"/>
      <w:r>
        <w:rPr>
          <w:rFonts w:cstheme="minorHAnsi"/>
          <w:b/>
          <w:bCs/>
        </w:rPr>
        <w:t>Bians</w:t>
      </w:r>
      <w:proofErr w:type="spellEnd"/>
      <w:r>
        <w:rPr>
          <w:rFonts w:cstheme="minorHAnsi"/>
          <w:b/>
          <w:bCs/>
        </w:rPr>
        <w:t>-les-</w:t>
      </w:r>
      <w:proofErr w:type="spellStart"/>
      <w:r>
        <w:rPr>
          <w:rFonts w:cstheme="minorHAnsi"/>
          <w:b/>
          <w:bCs/>
        </w:rPr>
        <w:t>Usiers</w:t>
      </w:r>
      <w:proofErr w:type="spellEnd"/>
      <w:r>
        <w:rPr>
          <w:rFonts w:cstheme="minorHAnsi"/>
        </w:rPr>
        <w:t xml:space="preserve"> Aurélien DORNIER</w:t>
      </w:r>
      <w:r w:rsidR="007E3170">
        <w:rPr>
          <w:rFonts w:cstheme="minorHAnsi"/>
        </w:rPr>
        <w:t>,</w:t>
      </w:r>
      <w:r>
        <w:rPr>
          <w:rFonts w:cstheme="minorHAnsi"/>
        </w:rPr>
        <w:t xml:space="preserve"> Martial BICHET</w:t>
      </w:r>
      <w:r>
        <w:rPr>
          <w:rFonts w:cstheme="minorHAnsi"/>
          <w:b/>
          <w:bCs/>
        </w:rPr>
        <w:t xml:space="preserve"> Chapelle d’Huin</w:t>
      </w:r>
      <w:r w:rsidR="007E3170">
        <w:rPr>
          <w:rFonts w:cstheme="minorHAnsi"/>
        </w:rPr>
        <w:t xml:space="preserve"> Béatrice PRITZY, </w:t>
      </w:r>
      <w:r>
        <w:rPr>
          <w:rFonts w:cstheme="minorHAnsi"/>
        </w:rPr>
        <w:t>Cédric BRAGARD</w:t>
      </w:r>
      <w:r>
        <w:rPr>
          <w:rFonts w:cstheme="minorHAnsi"/>
          <w:b/>
          <w:bCs/>
        </w:rPr>
        <w:t xml:space="preserve"> Évillers</w:t>
      </w:r>
      <w:r>
        <w:rPr>
          <w:rFonts w:cstheme="minorHAnsi"/>
        </w:rPr>
        <w:t xml:space="preserve"> Jean-Philippe DESCOURVIERES</w:t>
      </w:r>
      <w:r>
        <w:rPr>
          <w:rFonts w:cstheme="minorHAnsi"/>
          <w:b/>
          <w:bCs/>
        </w:rPr>
        <w:t xml:space="preserve"> Gevresin</w:t>
      </w:r>
      <w:r>
        <w:rPr>
          <w:rFonts w:cstheme="minorHAnsi"/>
        </w:rPr>
        <w:t xml:space="preserve"> Louis BOURGEOIS</w:t>
      </w:r>
      <w:r>
        <w:rPr>
          <w:rFonts w:cstheme="minorHAnsi"/>
          <w:b/>
          <w:bCs/>
        </w:rPr>
        <w:t xml:space="preserve"> Goux-les-Usiers</w:t>
      </w:r>
      <w:r>
        <w:rPr>
          <w:rFonts w:cstheme="minorHAnsi"/>
        </w:rPr>
        <w:t xml:space="preserve"> </w:t>
      </w:r>
      <w:r w:rsidR="007E3170">
        <w:rPr>
          <w:rFonts w:cstheme="minorHAnsi"/>
        </w:rPr>
        <w:t>Éric</w:t>
      </w:r>
      <w:r>
        <w:rPr>
          <w:rFonts w:cstheme="minorHAnsi"/>
        </w:rPr>
        <w:t xml:space="preserve"> BOURGEOIS</w:t>
      </w:r>
      <w:r w:rsidR="007E3170">
        <w:rPr>
          <w:rFonts w:cstheme="minorHAnsi"/>
        </w:rPr>
        <w:t>,</w:t>
      </w:r>
      <w:r>
        <w:rPr>
          <w:rFonts w:cstheme="minorHAnsi"/>
        </w:rPr>
        <w:t xml:space="preserve"> Claudine CATTET </w:t>
      </w:r>
      <w:r>
        <w:rPr>
          <w:rFonts w:cstheme="minorHAnsi"/>
          <w:b/>
          <w:bCs/>
        </w:rPr>
        <w:t>Levier</w:t>
      </w:r>
      <w:r>
        <w:rPr>
          <w:rFonts w:cstheme="minorHAnsi"/>
        </w:rPr>
        <w:t xml:space="preserve"> Marc SAULNIER, Nathalie SIEVERT, </w:t>
      </w:r>
      <w:r w:rsidR="00DB510C">
        <w:rPr>
          <w:rFonts w:cstheme="minorHAnsi"/>
        </w:rPr>
        <w:t xml:space="preserve">Isabelle CUENOT, </w:t>
      </w:r>
      <w:r>
        <w:rPr>
          <w:rFonts w:cstheme="minorHAnsi"/>
        </w:rPr>
        <w:t>François GARCIA, Christo</w:t>
      </w:r>
      <w:r w:rsidR="00DB510C">
        <w:rPr>
          <w:rFonts w:cstheme="minorHAnsi"/>
        </w:rPr>
        <w:t xml:space="preserve">phe MICHEL , Frédéric DOLE, Bernard JEANNIN </w:t>
      </w:r>
      <w:proofErr w:type="spellStart"/>
      <w:r w:rsidR="00DB510C" w:rsidRPr="00DB510C">
        <w:rPr>
          <w:rFonts w:cstheme="minorHAnsi"/>
          <w:b/>
        </w:rPr>
        <w:t>Septfontaine</w:t>
      </w:r>
      <w:proofErr w:type="spellEnd"/>
      <w:r w:rsidR="00DB510C">
        <w:rPr>
          <w:rFonts w:cstheme="minorHAnsi"/>
        </w:rPr>
        <w:t xml:space="preserve"> Jérémie GUYOT </w:t>
      </w:r>
      <w:r w:rsidR="00DB510C">
        <w:rPr>
          <w:rFonts w:cstheme="minorHAnsi"/>
          <w:b/>
          <w:bCs/>
        </w:rPr>
        <w:t xml:space="preserve">Sombacour  </w:t>
      </w:r>
      <w:r w:rsidR="00DB510C" w:rsidRPr="00DB510C">
        <w:rPr>
          <w:rFonts w:cstheme="minorHAnsi"/>
          <w:bCs/>
        </w:rPr>
        <w:t>Frédéric TOUBIN, Ahmed KALLAL</w:t>
      </w:r>
      <w:r w:rsidR="00DB510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Villeneuve d’Amont </w:t>
      </w:r>
      <w:r>
        <w:rPr>
          <w:rFonts w:cstheme="minorHAnsi"/>
        </w:rPr>
        <w:t>Marie-Claire MONNIN</w:t>
      </w:r>
      <w:r>
        <w:rPr>
          <w:rFonts w:cstheme="minorHAnsi"/>
          <w:b/>
          <w:bCs/>
        </w:rPr>
        <w:t xml:space="preserve"> </w:t>
      </w:r>
      <w:r w:rsidR="00DB510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Villers-sous-Chalamont</w:t>
      </w:r>
      <w:r>
        <w:rPr>
          <w:rFonts w:cstheme="minorHAnsi"/>
        </w:rPr>
        <w:t xml:space="preserve"> Claude COURVOISIER</w:t>
      </w:r>
    </w:p>
    <w:p w14:paraId="0997C01D" w14:textId="77777777" w:rsidR="001E3961" w:rsidRDefault="001E3961" w:rsidP="001E3961">
      <w:pPr>
        <w:pStyle w:val="Sansinterligne"/>
        <w:jc w:val="both"/>
        <w:rPr>
          <w:rFonts w:cstheme="minorHAnsi"/>
        </w:rPr>
      </w:pPr>
      <w:r>
        <w:rPr>
          <w:rFonts w:cstheme="minorHAnsi"/>
          <w:i/>
        </w:rPr>
        <w:t>Absents Excusés ayant donné procuration</w:t>
      </w:r>
      <w:r>
        <w:rPr>
          <w:rFonts w:cstheme="minorHAnsi"/>
        </w:rPr>
        <w:t xml:space="preserve"> : </w:t>
      </w:r>
      <w:r>
        <w:rPr>
          <w:rFonts w:cstheme="minorHAnsi"/>
          <w:b/>
        </w:rPr>
        <w:t>Levier</w:t>
      </w:r>
      <w:r>
        <w:rPr>
          <w:rFonts w:cstheme="minorHAnsi"/>
        </w:rPr>
        <w:t xml:space="preserve"> : Coralie GABRY (procuration à Marc SAULNIER), Léonie SCHNEITER (procuration à Frédéric DOLE). </w:t>
      </w:r>
      <w:r>
        <w:rPr>
          <w:rFonts w:cstheme="minorHAnsi"/>
          <w:b/>
        </w:rPr>
        <w:t>Goux-les-Usiers</w:t>
      </w:r>
      <w:r>
        <w:rPr>
          <w:rFonts w:cstheme="minorHAnsi"/>
        </w:rPr>
        <w:t> : Nicolas ROYET (procuration à Éric BOURGEOIS)</w:t>
      </w:r>
    </w:p>
    <w:p w14:paraId="1DB1C126" w14:textId="77777777" w:rsidR="001E3961" w:rsidRDefault="001E3961" w:rsidP="001E396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</w:t>
      </w:r>
    </w:p>
    <w:p w14:paraId="474B9384" w14:textId="77777777" w:rsidR="001E3961" w:rsidRDefault="001E3961" w:rsidP="001E3961">
      <w:pPr>
        <w:autoSpaceDE w:val="0"/>
        <w:autoSpaceDN w:val="0"/>
        <w:adjustRightInd w:val="0"/>
        <w:rPr>
          <w:rFonts w:eastAsia="Calibri" w:cstheme="minorHAnsi"/>
        </w:rPr>
      </w:pPr>
      <w:r>
        <w:rPr>
          <w:rFonts w:eastAsia="Calibri" w:cstheme="minorHAnsi"/>
          <w:i/>
        </w:rPr>
        <w:t>Absents Excusés</w:t>
      </w:r>
      <w:r>
        <w:rPr>
          <w:rFonts w:eastAsia="Calibri" w:cstheme="minorHAnsi"/>
        </w:rPr>
        <w:t> : aucun</w:t>
      </w:r>
    </w:p>
    <w:p w14:paraId="3966F815" w14:textId="77777777" w:rsidR="001E3961" w:rsidRDefault="001E3961" w:rsidP="001E3961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Cs/>
          <w:i/>
          <w:iCs/>
        </w:rPr>
        <w:t>21 membres présents à la réunion + 3 Procurations : Quorum atteint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3E482242" w14:textId="77777777" w:rsidR="00EC0733" w:rsidRPr="00EC0733" w:rsidRDefault="00EC0733" w:rsidP="00EC0733">
      <w:pPr>
        <w:pStyle w:val="Titre4"/>
        <w:tabs>
          <w:tab w:val="left" w:pos="1276"/>
        </w:tabs>
        <w:jc w:val="left"/>
        <w:rPr>
          <w:rFonts w:eastAsiaTheme="minorHAnsi"/>
          <w:bCs/>
          <w:lang w:eastAsia="en-US"/>
        </w:rPr>
      </w:pPr>
      <w:r>
        <w:rPr>
          <w:rStyle w:val="lev"/>
          <w:rFonts w:asciiTheme="minorHAnsi" w:eastAsiaTheme="minorEastAsia" w:hAnsiTheme="minorHAnsi" w:cs="Calibri"/>
          <w:color w:val="000000"/>
          <w:sz w:val="22"/>
          <w:szCs w:val="22"/>
        </w:rPr>
        <w:t xml:space="preserve">OBJET : </w:t>
      </w:r>
      <w:r>
        <w:rPr>
          <w:rStyle w:val="lev"/>
          <w:rFonts w:asciiTheme="minorHAnsi" w:eastAsiaTheme="minorEastAsia" w:hAnsiTheme="minorHAnsi" w:cs="Calibri"/>
          <w:color w:val="000000"/>
          <w:sz w:val="22"/>
          <w:szCs w:val="22"/>
        </w:rPr>
        <w:tab/>
      </w:r>
      <w:r w:rsidRPr="00EC0733">
        <w:rPr>
          <w:rFonts w:asciiTheme="minorHAnsi" w:eastAsiaTheme="minorHAnsi" w:hAnsiTheme="minorHAnsi" w:cs="Calibri"/>
          <w:sz w:val="22"/>
          <w:szCs w:val="22"/>
          <w:lang w:eastAsia="en-US"/>
        </w:rPr>
        <w:t>REVISION DES STATUTS DE LA CCA 800</w:t>
      </w:r>
      <w:r w:rsidRPr="00EC0733">
        <w:rPr>
          <w:rFonts w:eastAsiaTheme="minorHAnsi"/>
          <w:b w:val="0"/>
          <w:bCs/>
          <w:lang w:eastAsia="en-US"/>
        </w:rPr>
        <w:t xml:space="preserve"> </w:t>
      </w:r>
    </w:p>
    <w:p w14:paraId="705715A4" w14:textId="77777777" w:rsidR="00EC0733" w:rsidRDefault="00EC0733" w:rsidP="00EC0733">
      <w:pPr>
        <w:tabs>
          <w:tab w:val="left" w:pos="1276"/>
        </w:tabs>
        <w:spacing w:after="0"/>
        <w:rPr>
          <w:b/>
        </w:rPr>
      </w:pPr>
      <w:r>
        <w:rPr>
          <w:rFonts w:cs="Calibri"/>
        </w:rPr>
        <w:tab/>
      </w:r>
      <w:r>
        <w:rPr>
          <w:rFonts w:cs="Calibri"/>
          <w:b/>
        </w:rPr>
        <w:t>DCC N° 2022-05-176</w:t>
      </w:r>
    </w:p>
    <w:p w14:paraId="57E62259" w14:textId="77777777" w:rsidR="00EC0733" w:rsidRDefault="00EC0733" w:rsidP="001E3961">
      <w:pPr>
        <w:jc w:val="both"/>
        <w:rPr>
          <w:rFonts w:ascii="Calibri" w:hAnsi="Calibri" w:cs="Calibri"/>
          <w:b/>
          <w:bCs/>
          <w:color w:val="000000"/>
        </w:rPr>
      </w:pPr>
    </w:p>
    <w:p w14:paraId="32C08E38" w14:textId="77777777" w:rsidR="00EC0733" w:rsidRDefault="00EC0733" w:rsidP="001E3961">
      <w:pPr>
        <w:jc w:val="both"/>
        <w:rPr>
          <w:rFonts w:ascii="Calibri" w:hAnsi="Calibri" w:cs="Calibri"/>
          <w:b/>
          <w:bCs/>
          <w:color w:val="000000"/>
        </w:rPr>
      </w:pPr>
      <w:r w:rsidRPr="00EC0733">
        <w:rPr>
          <w:rFonts w:cs="Calibri"/>
        </w:rPr>
        <w:t>Le Président faite lecture des statuts ci-dessous</w:t>
      </w:r>
      <w:r>
        <w:rPr>
          <w:rFonts w:ascii="Calibri" w:hAnsi="Calibri" w:cs="Calibri"/>
          <w:b/>
          <w:bCs/>
          <w:color w:val="000000"/>
        </w:rPr>
        <w:t> </w:t>
      </w:r>
      <w:r w:rsidRPr="00EC0733">
        <w:rPr>
          <w:rFonts w:ascii="Calibri" w:hAnsi="Calibri" w:cs="Calibri"/>
          <w:bCs/>
          <w:color w:val="000000"/>
        </w:rPr>
        <w:t xml:space="preserve">: </w:t>
      </w:r>
    </w:p>
    <w:p w14:paraId="201CC4AD" w14:textId="77777777" w:rsidR="001E3961" w:rsidRDefault="001E3961" w:rsidP="001E3961">
      <w:pPr>
        <w:pStyle w:val="Paragraphe"/>
        <w:suppressAutoHyphens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Modification des Statuts de la CCA 800</w:t>
      </w:r>
    </w:p>
    <w:p w14:paraId="0AB1DB85" w14:textId="77777777" w:rsidR="001E3961" w:rsidRDefault="001E3961" w:rsidP="001E3961">
      <w:pPr>
        <w:pStyle w:val="Paragraphe"/>
        <w:suppressAutoHyphens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En date du 02 Mai 2022</w:t>
      </w:r>
    </w:p>
    <w:p w14:paraId="643F3968" w14:textId="77777777" w:rsidR="001E3961" w:rsidRDefault="001E3961" w:rsidP="001E3961">
      <w:pPr>
        <w:pStyle w:val="Paragraphe"/>
        <w:suppressAutoHyphens/>
        <w:rPr>
          <w:b/>
          <w:bCs/>
          <w:sz w:val="22"/>
          <w:u w:val="single"/>
        </w:rPr>
      </w:pPr>
    </w:p>
    <w:p w14:paraId="688A3E8B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Article 1 : Dénomination et composition</w:t>
      </w:r>
    </w:p>
    <w:p w14:paraId="1A8E4CB0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La communauté de communes Altitude 800 Espace Levier – Val d’</w:t>
      </w:r>
      <w:proofErr w:type="spellStart"/>
      <w:r w:rsidRPr="001E3961">
        <w:rPr>
          <w:rFonts w:asciiTheme="minorHAnsi" w:eastAsiaTheme="minorHAnsi" w:hAnsiTheme="minorHAnsi" w:cs="Calibri"/>
          <w:szCs w:val="22"/>
          <w:lang w:eastAsia="en-US"/>
        </w:rPr>
        <w:t>Usiers</w:t>
      </w:r>
      <w:proofErr w:type="spellEnd"/>
      <w:r w:rsidRPr="001E3961">
        <w:rPr>
          <w:rFonts w:asciiTheme="minorHAnsi" w:eastAsiaTheme="minorHAnsi" w:hAnsiTheme="minorHAnsi" w:cs="Calibri"/>
          <w:szCs w:val="22"/>
          <w:lang w:eastAsia="en-US"/>
        </w:rPr>
        <w:t xml:space="preserve"> est constituée des communes d’Arc-sous-Montenot, </w:t>
      </w:r>
      <w:proofErr w:type="spellStart"/>
      <w:r w:rsidRPr="001E3961">
        <w:rPr>
          <w:rFonts w:asciiTheme="minorHAnsi" w:eastAsiaTheme="minorHAnsi" w:hAnsiTheme="minorHAnsi" w:cs="Calibri"/>
          <w:szCs w:val="22"/>
          <w:lang w:eastAsia="en-US"/>
        </w:rPr>
        <w:t>Bians</w:t>
      </w:r>
      <w:proofErr w:type="spellEnd"/>
      <w:r w:rsidRPr="001E3961">
        <w:rPr>
          <w:rFonts w:asciiTheme="minorHAnsi" w:eastAsiaTheme="minorHAnsi" w:hAnsiTheme="minorHAnsi" w:cs="Calibri"/>
          <w:szCs w:val="22"/>
          <w:lang w:eastAsia="en-US"/>
        </w:rPr>
        <w:t>-les-</w:t>
      </w:r>
      <w:proofErr w:type="spellStart"/>
      <w:r w:rsidRPr="001E3961">
        <w:rPr>
          <w:rFonts w:asciiTheme="minorHAnsi" w:eastAsiaTheme="minorHAnsi" w:hAnsiTheme="minorHAnsi" w:cs="Calibri"/>
          <w:szCs w:val="22"/>
          <w:lang w:eastAsia="en-US"/>
        </w:rPr>
        <w:t>Usiers</w:t>
      </w:r>
      <w:proofErr w:type="spellEnd"/>
      <w:r w:rsidRPr="001E3961">
        <w:rPr>
          <w:rFonts w:asciiTheme="minorHAnsi" w:eastAsiaTheme="minorHAnsi" w:hAnsiTheme="minorHAnsi" w:cs="Calibri"/>
          <w:szCs w:val="22"/>
          <w:lang w:eastAsia="en-US"/>
        </w:rPr>
        <w:t>, Chapelle d’Huin, Evillers, Gevresin, Goux -les-</w:t>
      </w:r>
      <w:proofErr w:type="spellStart"/>
      <w:r w:rsidRPr="001E3961">
        <w:rPr>
          <w:rFonts w:asciiTheme="minorHAnsi" w:eastAsiaTheme="minorHAnsi" w:hAnsiTheme="minorHAnsi" w:cs="Calibri"/>
          <w:szCs w:val="22"/>
          <w:lang w:eastAsia="en-US"/>
        </w:rPr>
        <w:t>Usiers</w:t>
      </w:r>
      <w:proofErr w:type="spellEnd"/>
      <w:r w:rsidRPr="001E3961">
        <w:rPr>
          <w:rFonts w:asciiTheme="minorHAnsi" w:eastAsiaTheme="minorHAnsi" w:hAnsiTheme="minorHAnsi" w:cs="Calibri"/>
          <w:szCs w:val="22"/>
          <w:lang w:eastAsia="en-US"/>
        </w:rPr>
        <w:t>, Commune Nouvelle de Levier, Septfontaines, Sombacour, Villeneuve d’Amont et Villers-sous-Chalamont.</w:t>
      </w:r>
    </w:p>
    <w:p w14:paraId="6020CEE2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5AD90DC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4E9B432E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356D0DD5" w14:textId="77777777" w:rsidR="00EC0733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b/>
          <w:szCs w:val="22"/>
          <w:lang w:eastAsia="en-US"/>
        </w:rPr>
      </w:pPr>
    </w:p>
    <w:p w14:paraId="33B88137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b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Cs w:val="22"/>
          <w:lang w:eastAsia="en-US"/>
        </w:rPr>
        <w:t>Article 2 : durée</w:t>
      </w:r>
    </w:p>
    <w:p w14:paraId="4841F6D8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La communauté de communes est instituée pour une durée illimitée.</w:t>
      </w:r>
    </w:p>
    <w:p w14:paraId="25A78A79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2777FACE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40DD892D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Article 3 : Siège de la Communauté</w:t>
      </w:r>
    </w:p>
    <w:p w14:paraId="0DE4631C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 xml:space="preserve">Le siège de la communauté de communes est fixé à Levier, 7B Place </w:t>
      </w:r>
      <w:proofErr w:type="spellStart"/>
      <w:r w:rsidRPr="001E3961">
        <w:rPr>
          <w:rFonts w:asciiTheme="minorHAnsi" w:eastAsiaTheme="minorHAnsi" w:hAnsiTheme="minorHAnsi" w:cs="Calibri"/>
          <w:szCs w:val="22"/>
          <w:lang w:eastAsia="en-US"/>
        </w:rPr>
        <w:t>Bugnet</w:t>
      </w:r>
      <w:proofErr w:type="spellEnd"/>
      <w:r w:rsidRPr="001E3961">
        <w:rPr>
          <w:rFonts w:asciiTheme="minorHAnsi" w:eastAsiaTheme="minorHAnsi" w:hAnsiTheme="minorHAnsi" w:cs="Calibri"/>
          <w:szCs w:val="22"/>
          <w:lang w:eastAsia="en-US"/>
        </w:rPr>
        <w:t xml:space="preserve"> 25270 LEVIER.</w:t>
      </w:r>
    </w:p>
    <w:p w14:paraId="0DBAE1E5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5578D4EC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78D4D8F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Article 4 : Composition du Conseil de Communauté</w:t>
      </w:r>
    </w:p>
    <w:p w14:paraId="22E5290A" w14:textId="77777777" w:rsidR="001E3961" w:rsidRPr="001E3961" w:rsidRDefault="001E3961" w:rsidP="001E3961">
      <w:pPr>
        <w:pStyle w:val="Paragraphe"/>
        <w:tabs>
          <w:tab w:val="left" w:pos="426"/>
        </w:tabs>
        <w:spacing w:before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Le nombre total de sièges du conseil communautaire de la communauté de communes CCA 800 est fixé à 24 sièges (arrêté préfectoral n° 25-2019-10-03-008 du 3 octobre 2019).</w:t>
      </w:r>
    </w:p>
    <w:p w14:paraId="4C64200D" w14:textId="77777777" w:rsidR="00EC0733" w:rsidRDefault="00EC0733" w:rsidP="001E39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82E6E23" w14:textId="77777777" w:rsidR="00EC0733" w:rsidRDefault="00EC0733" w:rsidP="001E39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43FF44" w14:textId="77777777" w:rsidR="001E3961" w:rsidRPr="001E3961" w:rsidRDefault="001E3961" w:rsidP="001E39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E3961">
        <w:rPr>
          <w:rFonts w:cs="Calibri"/>
        </w:rPr>
        <w:t>Ces 24 sièges sont répartis entre les communes membres conformément au tableau ci-après :</w:t>
      </w:r>
    </w:p>
    <w:p w14:paraId="13A4C9A5" w14:textId="77777777" w:rsidR="001E3961" w:rsidRPr="001E3961" w:rsidRDefault="001E3961" w:rsidP="001E39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3D86EAC" w14:textId="77777777" w:rsidR="001E3961" w:rsidRPr="001E3961" w:rsidRDefault="001E3961" w:rsidP="001E39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1E3961" w:rsidRPr="001E3961" w14:paraId="2014658E" w14:textId="77777777" w:rsidTr="008E34F1">
        <w:trPr>
          <w:cantSplit/>
          <w:trHeight w:val="907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1A8B03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Communes membres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3B35A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Nombre de sièges</w:t>
            </w:r>
          </w:p>
        </w:tc>
      </w:tr>
      <w:tr w:rsidR="001E3961" w:rsidRPr="001E3961" w14:paraId="44769CF9" w14:textId="77777777" w:rsidTr="008E34F1">
        <w:trPr>
          <w:cantSplit/>
          <w:trHeight w:val="557"/>
        </w:trPr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8B49A" w14:textId="77777777" w:rsidR="001E3961" w:rsidRPr="001E3961" w:rsidRDefault="001E3961" w:rsidP="008E34F1">
            <w:pPr>
              <w:spacing w:before="120" w:after="120"/>
              <w:jc w:val="both"/>
              <w:rPr>
                <w:rFonts w:cs="Calibri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564BE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</w:p>
        </w:tc>
      </w:tr>
      <w:tr w:rsidR="001E3961" w:rsidRPr="001E3961" w14:paraId="0FA8CB28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70CF08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 xml:space="preserve">Arc sous </w:t>
            </w:r>
            <w:proofErr w:type="spellStart"/>
            <w:r w:rsidRPr="001E3961">
              <w:rPr>
                <w:rFonts w:cs="Calibri"/>
              </w:rPr>
              <w:t>Montenot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31FD4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1</w:t>
            </w:r>
          </w:p>
        </w:tc>
      </w:tr>
      <w:tr w:rsidR="001E3961" w:rsidRPr="001E3961" w14:paraId="191ACF71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86676A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proofErr w:type="spellStart"/>
            <w:r w:rsidRPr="001E3961">
              <w:rPr>
                <w:rFonts w:cs="Calibri"/>
              </w:rPr>
              <w:t>Bians</w:t>
            </w:r>
            <w:proofErr w:type="spellEnd"/>
            <w:r w:rsidRPr="001E3961">
              <w:rPr>
                <w:rFonts w:cs="Calibri"/>
              </w:rPr>
              <w:t xml:space="preserve"> les </w:t>
            </w:r>
            <w:proofErr w:type="spellStart"/>
            <w:r w:rsidRPr="001E3961">
              <w:rPr>
                <w:rFonts w:cs="Calibri"/>
              </w:rPr>
              <w:t>Usiers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3A3BF5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2</w:t>
            </w:r>
          </w:p>
        </w:tc>
      </w:tr>
      <w:tr w:rsidR="001E3961" w:rsidRPr="001E3961" w14:paraId="180A97D6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94E6B0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Chapelle d’Huin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2B019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2</w:t>
            </w:r>
          </w:p>
        </w:tc>
      </w:tr>
      <w:tr w:rsidR="001E3961" w:rsidRPr="001E3961" w14:paraId="0430A090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96F9DAB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Evillers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09A69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1</w:t>
            </w:r>
          </w:p>
        </w:tc>
      </w:tr>
      <w:tr w:rsidR="001E3961" w:rsidRPr="001E3961" w14:paraId="621DEFEB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88C75E0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Gevresin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2E9BE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1</w:t>
            </w:r>
          </w:p>
        </w:tc>
      </w:tr>
      <w:tr w:rsidR="001E3961" w:rsidRPr="001E3961" w14:paraId="73F5856C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9F8AB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 xml:space="preserve">Goux les </w:t>
            </w:r>
            <w:proofErr w:type="spellStart"/>
            <w:r w:rsidRPr="001E3961">
              <w:rPr>
                <w:rFonts w:cs="Calibri"/>
              </w:rPr>
              <w:t>Usiers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1579FC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3</w:t>
            </w:r>
          </w:p>
        </w:tc>
      </w:tr>
      <w:tr w:rsidR="001E3961" w:rsidRPr="001E3961" w14:paraId="05601C54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0C6803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Levier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FF0498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9</w:t>
            </w:r>
          </w:p>
        </w:tc>
      </w:tr>
      <w:tr w:rsidR="001E3961" w:rsidRPr="001E3961" w14:paraId="50C8C090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2B8593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Septfontaines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B0480C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1</w:t>
            </w:r>
          </w:p>
        </w:tc>
      </w:tr>
      <w:tr w:rsidR="001E3961" w:rsidRPr="001E3961" w14:paraId="4AF915B1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9023BD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Sombacour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7D1D0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2</w:t>
            </w:r>
          </w:p>
        </w:tc>
      </w:tr>
      <w:tr w:rsidR="001E3961" w:rsidRPr="001E3961" w14:paraId="5743D2E5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C20E54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Villeneuve d’Amont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AC7CFD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1</w:t>
            </w:r>
          </w:p>
        </w:tc>
      </w:tr>
      <w:tr w:rsidR="001E3961" w:rsidRPr="001E3961" w14:paraId="4A9372DE" w14:textId="77777777" w:rsidTr="008E34F1">
        <w:trPr>
          <w:cantSplit/>
          <w:trHeight w:val="286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FE84FD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Villers sous Chalamont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40CA08" w14:textId="77777777" w:rsidR="001E3961" w:rsidRPr="001E3961" w:rsidRDefault="001E3961" w:rsidP="008E34F1">
            <w:pPr>
              <w:spacing w:before="120" w:after="120"/>
              <w:jc w:val="center"/>
              <w:rPr>
                <w:rFonts w:cs="Calibri"/>
              </w:rPr>
            </w:pPr>
            <w:r w:rsidRPr="001E3961">
              <w:rPr>
                <w:rFonts w:cs="Calibri"/>
              </w:rPr>
              <w:t>1</w:t>
            </w:r>
          </w:p>
        </w:tc>
      </w:tr>
    </w:tbl>
    <w:p w14:paraId="15AA7FF3" w14:textId="77777777" w:rsid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8FB43D3" w14:textId="77777777" w:rsidR="00EC0733" w:rsidRPr="001E3961" w:rsidRDefault="00EC0733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A65D87B" w14:textId="77777777" w:rsidR="00EC0733" w:rsidRDefault="00EC0733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602ED6ED" w14:textId="77777777" w:rsidR="00EC0733" w:rsidRDefault="00EC0733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7FF81FAE" w14:textId="77777777" w:rsidR="00EC0733" w:rsidRDefault="00EC0733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14:paraId="6CE45164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Article 5 : Compétences obligatoires </w:t>
      </w:r>
    </w:p>
    <w:p w14:paraId="0E135AD9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790F181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Vu l’article L5214-16 du CGCT</w:t>
      </w:r>
    </w:p>
    <w:p w14:paraId="2E8D9DF5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09F18D69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2CA9A9D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La communauté de communes exerce de plein droit au lieu et place des communes membres les compétences relevant de chacun des groupes suivants :</w:t>
      </w:r>
    </w:p>
    <w:p w14:paraId="019A259F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1A1FB2A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1° Aménagement de l'espace pour la conduite d'actions d'intérêt communautaire ; schéma de cohérence territoriale et schéma de secteur ; plan local d'urbanisme, document d'urbanisme en tenant lieu et carte communale ;</w:t>
      </w:r>
    </w:p>
    <w:p w14:paraId="0E2D28CB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582AB01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2° Actions de développement économique dans les conditions prévues à l'article </w:t>
      </w:r>
      <w:hyperlink r:id="rId6" w:history="1">
        <w:r w:rsidRPr="001E3961">
          <w:rPr>
            <w:rFonts w:asciiTheme="minorHAnsi" w:eastAsiaTheme="minorHAnsi" w:hAnsiTheme="minorHAnsi" w:cs="Calibri"/>
            <w:szCs w:val="22"/>
            <w:lang w:eastAsia="en-US"/>
          </w:rPr>
          <w:t>L. 4251-17 </w:t>
        </w:r>
      </w:hyperlink>
      <w:r w:rsidRPr="001E3961">
        <w:rPr>
          <w:rFonts w:asciiTheme="minorHAnsi" w:eastAsiaTheme="minorHAnsi" w:hAnsiTheme="minorHAnsi" w:cs="Calibri"/>
          <w:szCs w:val="22"/>
          <w:lang w:eastAsia="en-US"/>
        </w:rPr>
        <w:t>; création, aménagement, entretien et gestion de zones d'activité industrielle, commerciale, tertiaire, artisanale, touristique, portuaire ou aéroportuaire ; politique locale du commerce et soutien aux activités commerciales d'intérêt communautaire ; promotion du tourisme, dont la création d'offices de tourisme sans préjudice de l'animation touristique qui est une compétence partagée, au sens de l'article L. 1111-4, avec les communes membres de l'établissement public de coopération intercommunale à fiscalité propre ;</w:t>
      </w:r>
    </w:p>
    <w:p w14:paraId="30E730D9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3049D138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3° Gestion des milieux aquatiques et prévention des inondations, dans les conditions prévues à l'article </w:t>
      </w:r>
      <w:hyperlink r:id="rId7" w:history="1">
        <w:r w:rsidRPr="001E3961">
          <w:rPr>
            <w:rFonts w:asciiTheme="minorHAnsi" w:eastAsiaTheme="minorHAnsi" w:hAnsiTheme="minorHAnsi" w:cs="Calibri"/>
            <w:szCs w:val="22"/>
            <w:lang w:eastAsia="en-US"/>
          </w:rPr>
          <w:t>L. 211-7 </w:t>
        </w:r>
      </w:hyperlink>
      <w:r w:rsidRPr="001E3961">
        <w:rPr>
          <w:rFonts w:asciiTheme="minorHAnsi" w:eastAsiaTheme="minorHAnsi" w:hAnsiTheme="minorHAnsi" w:cs="Calibri"/>
          <w:szCs w:val="22"/>
          <w:lang w:eastAsia="en-US"/>
        </w:rPr>
        <w:t>du code de l'environnement ;</w:t>
      </w:r>
    </w:p>
    <w:p w14:paraId="1AEC29C3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10ADE33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4° Création, aménagement, entretien et gestion des aires d'accueil des gens du voyage et des terrains familiaux locatifs définis aux 1° à 3° du II de </w:t>
      </w:r>
      <w:hyperlink r:id="rId8" w:history="1">
        <w:r w:rsidRPr="001E3961">
          <w:rPr>
            <w:rFonts w:asciiTheme="minorHAnsi" w:eastAsiaTheme="minorHAnsi" w:hAnsiTheme="minorHAnsi" w:cs="Calibri"/>
            <w:szCs w:val="22"/>
            <w:lang w:eastAsia="en-US"/>
          </w:rPr>
          <w:t>l'article 1er de la loi n° 2000-614 </w:t>
        </w:r>
      </w:hyperlink>
      <w:r w:rsidRPr="001E3961">
        <w:rPr>
          <w:rFonts w:asciiTheme="minorHAnsi" w:eastAsiaTheme="minorHAnsi" w:hAnsiTheme="minorHAnsi" w:cs="Calibri"/>
          <w:szCs w:val="22"/>
          <w:lang w:eastAsia="en-US"/>
        </w:rPr>
        <w:t>du 5 juillet 2000 relative à l'accueil et à l'habitat des gens du voyage ;</w:t>
      </w:r>
    </w:p>
    <w:p w14:paraId="48FB4BDA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B99D7D0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5° Collecte et traitement des déchets des ménages et déchets assimilés ;</w:t>
      </w:r>
    </w:p>
    <w:p w14:paraId="07F93CCE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F9E5039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7788D0B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Article 6 : Compétences facultatives</w:t>
      </w:r>
    </w:p>
    <w:p w14:paraId="66C7E664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DDE6CDC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La communauté de communes peut par ailleurs exercer, en lieu et place des communes, pour la conduite d'actions d'intérêt communautaire, les compétences relevant des groupes suivants :</w:t>
      </w:r>
    </w:p>
    <w:p w14:paraId="7903084A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0461ECF5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1° Politique du logement et du cadre de vie ;</w:t>
      </w:r>
    </w:p>
    <w:p w14:paraId="3BCC2009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20F5D97B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2° Construction, entretien et fonctionnement d'équipements culturels et sportifs d'intérêt communautaire et d'équipements de l'enseignement préélémentaire et élémentaire d'intérêt communautaire ;</w:t>
      </w:r>
    </w:p>
    <w:p w14:paraId="12A4FFDB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5EF82290" w14:textId="77777777" w:rsidR="001E3961" w:rsidRPr="001E3961" w:rsidRDefault="001E3961" w:rsidP="001E3961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3 ° Action sociale d'intérêt communautaire.</w:t>
      </w:r>
    </w:p>
    <w:p w14:paraId="7052DC61" w14:textId="77777777" w:rsidR="001E3961" w:rsidRPr="001E3961" w:rsidRDefault="001E3961" w:rsidP="001E3961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Lorsque la communauté de communes exerce cette compétence, elle peut en confier la responsabilité, pour tout ou partie, à un centre intercommunal d'action sociale constitué dans les conditions fixées à </w:t>
      </w:r>
      <w:hyperlink r:id="rId9" w:history="1">
        <w:r w:rsidRPr="001E3961">
          <w:rPr>
            <w:rFonts w:asciiTheme="minorHAnsi" w:eastAsiaTheme="minorHAnsi" w:hAnsiTheme="minorHAnsi" w:cs="Calibri"/>
            <w:sz w:val="22"/>
            <w:szCs w:val="22"/>
            <w:lang w:eastAsia="en-US"/>
          </w:rPr>
          <w:t>l'article L. 123-4-1 du code de l'action sociale et des familles</w:t>
        </w:r>
      </w:hyperlink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14:paraId="35DD6EEC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4° Participation à une convention France Services et définition des obligations de service public y afférentes en application de l'article </w:t>
      </w:r>
      <w:hyperlink r:id="rId10" w:history="1">
        <w:r w:rsidRPr="001E3961">
          <w:rPr>
            <w:rFonts w:asciiTheme="minorHAnsi" w:eastAsiaTheme="minorHAnsi" w:hAnsiTheme="minorHAnsi" w:cs="Calibri"/>
            <w:szCs w:val="22"/>
            <w:lang w:eastAsia="en-US"/>
          </w:rPr>
          <w:t>27-2 </w:t>
        </w:r>
      </w:hyperlink>
      <w:r w:rsidRPr="001E3961">
        <w:rPr>
          <w:rFonts w:asciiTheme="minorHAnsi" w:eastAsiaTheme="minorHAnsi" w:hAnsiTheme="minorHAnsi" w:cs="Calibri"/>
          <w:szCs w:val="22"/>
          <w:lang w:eastAsia="en-US"/>
        </w:rPr>
        <w:t>de la loi n° 2000-321 du 12 avril 2000 relative aux droits des citoyens dans leurs relations avec les administrations ;</w:t>
      </w:r>
    </w:p>
    <w:p w14:paraId="0AF52CFA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ACB331B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0748D2A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5° Très haut débit : </w:t>
      </w:r>
    </w:p>
    <w:p w14:paraId="725875EC" w14:textId="77777777" w:rsidR="001E3961" w:rsidRPr="001E3961" w:rsidRDefault="001E3961" w:rsidP="001E3961">
      <w:pPr>
        <w:pStyle w:val="Paragraphe"/>
        <w:numPr>
          <w:ilvl w:val="0"/>
          <w:numId w:val="1"/>
        </w:numPr>
        <w:tabs>
          <w:tab w:val="clear" w:pos="1072"/>
        </w:tabs>
        <w:suppressAutoHyphens/>
        <w:spacing w:before="0"/>
        <w:ind w:left="851" w:hanging="142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Etablissement, par réalisation ou par acquisition ou location, d’infrastructures et réseaux de communications électroniques très haut débit (THD) ;</w:t>
      </w:r>
    </w:p>
    <w:p w14:paraId="46B0CDA1" w14:textId="77777777" w:rsidR="001E3961" w:rsidRPr="001E3961" w:rsidRDefault="001E3961" w:rsidP="001E3961">
      <w:pPr>
        <w:pStyle w:val="Paragraphe"/>
        <w:numPr>
          <w:ilvl w:val="0"/>
          <w:numId w:val="1"/>
        </w:numPr>
        <w:tabs>
          <w:tab w:val="clear" w:pos="1072"/>
        </w:tabs>
        <w:suppressAutoHyphens/>
        <w:spacing w:before="0"/>
        <w:ind w:left="851" w:hanging="142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Gestion et exploitation de ces infrastructures et de ces réseaux ;</w:t>
      </w:r>
    </w:p>
    <w:p w14:paraId="07CD6CBD" w14:textId="77777777" w:rsidR="001E3961" w:rsidRPr="001E3961" w:rsidRDefault="001E3961" w:rsidP="001E3961">
      <w:pPr>
        <w:pStyle w:val="Paragraphe"/>
        <w:numPr>
          <w:ilvl w:val="0"/>
          <w:numId w:val="1"/>
        </w:numPr>
        <w:tabs>
          <w:tab w:val="clear" w:pos="1072"/>
        </w:tabs>
        <w:suppressAutoHyphens/>
        <w:spacing w:before="0"/>
        <w:ind w:left="851" w:hanging="142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Organisation et mise en œuvre de tous les moyens permettant d’assurer, dans les conditions prévues par la loi, le développement et la promotion des services de communications électroniques correspondant à ces infrastructures réseaux ;</w:t>
      </w:r>
    </w:p>
    <w:p w14:paraId="6ED13A91" w14:textId="77777777" w:rsidR="001E3961" w:rsidRPr="001E3961" w:rsidRDefault="001E3961" w:rsidP="001E3961">
      <w:pPr>
        <w:pStyle w:val="Paragraphe"/>
        <w:numPr>
          <w:ilvl w:val="0"/>
          <w:numId w:val="1"/>
        </w:numPr>
        <w:tabs>
          <w:tab w:val="clear" w:pos="1072"/>
        </w:tabs>
        <w:suppressAutoHyphens/>
        <w:spacing w:before="0"/>
        <w:ind w:left="851" w:hanging="142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L’activité « d’opérateur d’opérateurs » en mettant à disposition des opérateurs de services la capacité et/ou les infrastructures et équipements nécessaires à leur activité ;</w:t>
      </w:r>
    </w:p>
    <w:p w14:paraId="6BC0B772" w14:textId="77777777" w:rsidR="001E3961" w:rsidRPr="001E3961" w:rsidRDefault="001E3961" w:rsidP="001E3961">
      <w:pPr>
        <w:pStyle w:val="Paragraphe"/>
        <w:numPr>
          <w:ilvl w:val="0"/>
          <w:numId w:val="1"/>
        </w:numPr>
        <w:tabs>
          <w:tab w:val="clear" w:pos="1072"/>
        </w:tabs>
        <w:suppressAutoHyphens/>
        <w:spacing w:before="0"/>
        <w:ind w:left="851" w:hanging="142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Offre de service de communications électroniques aux opérateurs de réseaux indépendants ;</w:t>
      </w:r>
    </w:p>
    <w:p w14:paraId="5B4A8A79" w14:textId="77777777" w:rsidR="001E3961" w:rsidRPr="001E3961" w:rsidRDefault="001E3961" w:rsidP="001E3961">
      <w:pPr>
        <w:pStyle w:val="Paragraphe"/>
        <w:numPr>
          <w:ilvl w:val="0"/>
          <w:numId w:val="1"/>
        </w:numPr>
        <w:tabs>
          <w:tab w:val="clear" w:pos="1072"/>
        </w:tabs>
        <w:suppressAutoHyphens/>
        <w:spacing w:before="0"/>
        <w:ind w:left="851" w:hanging="142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Toute réalisation d’études intéressant l’un ou l’autre des points ci-dessus.</w:t>
      </w:r>
    </w:p>
    <w:p w14:paraId="55AF19C0" w14:textId="77777777" w:rsidR="001E3961" w:rsidRPr="001E3961" w:rsidRDefault="001E3961" w:rsidP="001E3961">
      <w:pPr>
        <w:pStyle w:val="Paragraphe"/>
        <w:suppressAutoHyphens/>
        <w:spacing w:before="0"/>
        <w:ind w:left="709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97BB3C4" w14:textId="77777777" w:rsidR="001E3961" w:rsidRPr="001E3961" w:rsidRDefault="001E3961" w:rsidP="001E3961">
      <w:pPr>
        <w:pStyle w:val="Paragraphe"/>
        <w:suppressAutoHyphens/>
        <w:spacing w:before="0"/>
        <w:ind w:left="709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 w:val="22"/>
          <w:szCs w:val="22"/>
          <w:lang w:eastAsia="en-US"/>
        </w:rPr>
        <w:t>La communauté de commune est autorisée à adhérer au syndicat mixte « Doubs Très Haut Débit »</w:t>
      </w:r>
    </w:p>
    <w:p w14:paraId="59AC37F3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3EEB45A3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2DB4851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6° Electricité : La Communauté de communes Altitude 800 délègue sa compétence au Syndicat d’Energie du Doubs (SYDED) ;</w:t>
      </w:r>
    </w:p>
    <w:p w14:paraId="11723DEB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6BE28D3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2831194B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7° Action en faveur des activités socioculturelles et sportives :</w:t>
      </w:r>
    </w:p>
    <w:p w14:paraId="7EA428A3" w14:textId="77777777" w:rsidR="001E3961" w:rsidRPr="001E3961" w:rsidRDefault="001E3961" w:rsidP="001E3961">
      <w:pPr>
        <w:pStyle w:val="Retraitcorpsdetexte3"/>
        <w:numPr>
          <w:ilvl w:val="0"/>
          <w:numId w:val="2"/>
        </w:numPr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Soutien à l’école intercommunale de musique,</w:t>
      </w:r>
    </w:p>
    <w:p w14:paraId="7AB7DF9C" w14:textId="77777777" w:rsidR="001E3961" w:rsidRPr="001E3961" w:rsidRDefault="001E3961" w:rsidP="001E3961">
      <w:pPr>
        <w:pStyle w:val="Retraitcorpsdetexte3"/>
        <w:numPr>
          <w:ilvl w:val="0"/>
          <w:numId w:val="2"/>
        </w:numPr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Soutien à la bibliothèque intercommunale,</w:t>
      </w:r>
    </w:p>
    <w:p w14:paraId="7B0A612C" w14:textId="77777777" w:rsidR="001E3961" w:rsidRPr="001E3961" w:rsidRDefault="001E3961" w:rsidP="001E3961">
      <w:pPr>
        <w:pStyle w:val="Retraitcorpsdetexte3"/>
        <w:numPr>
          <w:ilvl w:val="0"/>
          <w:numId w:val="2"/>
        </w:numPr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Soutien aux activités socioculturelles et sportives développées au sein des établissements scolaires du territoire,</w:t>
      </w:r>
    </w:p>
    <w:p w14:paraId="583EDEC7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EF553A1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24963170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8° Construction, entretien et fonctionnement des maisons de santé de Levier et Goux-les-Usiers, de la gendarmerie de Levier ainsi que tout bâtiment faisant l’objet d’un projet intercommunal ;</w:t>
      </w:r>
    </w:p>
    <w:p w14:paraId="30F36989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05246A11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105B19D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 xml:space="preserve">9° Energies renouvelables pour les missions suivantes : </w:t>
      </w:r>
    </w:p>
    <w:p w14:paraId="327BD104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530E5F64" w14:textId="77777777" w:rsidR="001E3961" w:rsidRPr="001E3961" w:rsidRDefault="001E3961" w:rsidP="001E3961">
      <w:pPr>
        <w:pStyle w:val="Retraitcorpsdetexte3"/>
        <w:numPr>
          <w:ilvl w:val="0"/>
          <w:numId w:val="2"/>
        </w:numPr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 xml:space="preserve">Etudes et réalisations de programme d’action intercommunaux pour la valorisation des énergies renouvelables, </w:t>
      </w:r>
    </w:p>
    <w:p w14:paraId="696E7078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4CDD9012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10° Organisation des mobilités sur le territoire de la CCA 800.</w:t>
      </w:r>
    </w:p>
    <w:p w14:paraId="6AECF2A1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F250081" w14:textId="77777777" w:rsidR="00EC0733" w:rsidRPr="001E3961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69910BA2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11° Organisation des mobilités douces sur le territoire de la CCA 800 hors centres-villes ;</w:t>
      </w:r>
    </w:p>
    <w:p w14:paraId="7C783D95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2BDF8760" w14:textId="77777777" w:rsidR="00EC0733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3959264C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12° La Communauté de Communes Altitude 800 est compétente pour mener des études dans le cadre de la préparation des transferts de l’eau et de l’assainissement :</w:t>
      </w:r>
    </w:p>
    <w:p w14:paraId="2C1F02D5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3CBC7B52" w14:textId="77777777" w:rsidR="001E3961" w:rsidRPr="001E3961" w:rsidRDefault="001E3961" w:rsidP="001E3961">
      <w:pPr>
        <w:pStyle w:val="Retraitcorpsdetexte3"/>
        <w:numPr>
          <w:ilvl w:val="0"/>
          <w:numId w:val="2"/>
        </w:numPr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Elaboration du Schéma Directeur d’Assainissement et de ses annexes ;</w:t>
      </w:r>
    </w:p>
    <w:p w14:paraId="25D3DFBE" w14:textId="77777777" w:rsidR="001E3961" w:rsidRPr="001E3961" w:rsidRDefault="001E3961" w:rsidP="001E3961">
      <w:pPr>
        <w:pStyle w:val="Retraitcorpsdetexte3"/>
        <w:numPr>
          <w:ilvl w:val="0"/>
          <w:numId w:val="2"/>
        </w:numPr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Elaboration du Schéma Directeur d’Eau Potable et de ses annexes ;</w:t>
      </w:r>
    </w:p>
    <w:p w14:paraId="4C3B4587" w14:textId="77777777" w:rsid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8E72D27" w14:textId="77777777" w:rsidR="00EC0733" w:rsidRDefault="00EC0733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7BBF43A" w14:textId="77777777" w:rsidR="001E3961" w:rsidRPr="001E3961" w:rsidRDefault="001E3961" w:rsidP="001E3961">
      <w:pPr>
        <w:pStyle w:val="Paragraphe"/>
        <w:suppressAutoHyphens/>
        <w:spacing w:before="0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Article 7 : Le Bureau </w:t>
      </w:r>
    </w:p>
    <w:p w14:paraId="009544B8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7979ECD4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Le conseil de communauté élit en son sein un bureau composé d’un Président et de quatre vice-Présidents.</w:t>
      </w:r>
    </w:p>
    <w:p w14:paraId="557F84BD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14:paraId="1814387B" w14:textId="77777777" w:rsidR="001E3961" w:rsidRPr="001E3961" w:rsidRDefault="001E3961" w:rsidP="001E3961">
      <w:pPr>
        <w:pStyle w:val="Retraitcorpsdetexte3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1E3961">
        <w:rPr>
          <w:rFonts w:asciiTheme="minorHAnsi" w:eastAsiaTheme="minorHAnsi" w:hAnsiTheme="minorHAnsi" w:cs="Calibri"/>
          <w:szCs w:val="22"/>
          <w:lang w:eastAsia="en-US"/>
        </w:rPr>
        <w:t>Les membres du bureau ne disposent pas de suppléants.</w:t>
      </w:r>
    </w:p>
    <w:p w14:paraId="5AC776C9" w14:textId="77777777" w:rsidR="00F82436" w:rsidRDefault="00F82436" w:rsidP="001E3961">
      <w:pPr>
        <w:pStyle w:val="Sansinterligne"/>
        <w:jc w:val="both"/>
        <w:rPr>
          <w:rFonts w:cstheme="minorHAnsi"/>
          <w:sz w:val="16"/>
          <w:szCs w:val="16"/>
        </w:rPr>
      </w:pPr>
    </w:p>
    <w:p w14:paraId="3124EE63" w14:textId="77777777" w:rsidR="00D446F1" w:rsidRDefault="00D446F1" w:rsidP="001E3961">
      <w:pPr>
        <w:pStyle w:val="Sansinterligne"/>
        <w:jc w:val="both"/>
        <w:rPr>
          <w:rFonts w:cstheme="minorHAnsi"/>
          <w:sz w:val="16"/>
          <w:szCs w:val="16"/>
        </w:rPr>
      </w:pPr>
    </w:p>
    <w:p w14:paraId="70DA1EFC" w14:textId="77777777" w:rsidR="001E3961" w:rsidRDefault="001E3961" w:rsidP="001E3961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L’exposé du Président entendu, le conseil communautaire, valide à 23 voix POUR et 1 ABSTENTION, les nouveaux statuts de la CCA 800.  </w:t>
      </w:r>
    </w:p>
    <w:p w14:paraId="7AE38D46" w14:textId="77777777" w:rsidR="00D446F1" w:rsidRDefault="00D446F1" w:rsidP="001E3961">
      <w:pPr>
        <w:pStyle w:val="Sansinterligne"/>
        <w:jc w:val="both"/>
        <w:rPr>
          <w:rFonts w:cstheme="minorHAnsi"/>
          <w:sz w:val="24"/>
          <w:szCs w:val="24"/>
        </w:rPr>
      </w:pPr>
    </w:p>
    <w:p w14:paraId="06AFADA5" w14:textId="77777777" w:rsidR="001E3961" w:rsidRDefault="001E3961" w:rsidP="001E3961">
      <w:pPr>
        <w:pStyle w:val="Sansinterligne"/>
        <w:rPr>
          <w:lang w:eastAsia="fr-FR"/>
        </w:rPr>
      </w:pPr>
    </w:p>
    <w:p w14:paraId="1CA5461F" w14:textId="77777777" w:rsidR="001E3961" w:rsidRDefault="001E3961" w:rsidP="001E3961">
      <w:pPr>
        <w:pStyle w:val="Sansinterligne"/>
        <w:rPr>
          <w:lang w:eastAsia="fr-FR"/>
        </w:rPr>
      </w:pPr>
      <w:r>
        <w:rPr>
          <w:lang w:eastAsia="fr-FR"/>
        </w:rPr>
        <w:t>Ainsi fait et délibéré, en séance, les an, mois et jour susdits.</w:t>
      </w:r>
    </w:p>
    <w:p w14:paraId="0B7FC910" w14:textId="77777777" w:rsidR="001E3961" w:rsidRDefault="001E3961" w:rsidP="001E3961"/>
    <w:p w14:paraId="40512E53" w14:textId="77777777" w:rsidR="001E3961" w:rsidRDefault="001E3961" w:rsidP="001E3961">
      <w:pPr>
        <w:pStyle w:val="Sansinterligne"/>
        <w:jc w:val="right"/>
      </w:pPr>
      <w:r>
        <w:t>Le Président</w:t>
      </w:r>
    </w:p>
    <w:p w14:paraId="056AF2E2" w14:textId="77777777" w:rsidR="001E3961" w:rsidRDefault="00F82436" w:rsidP="001E3961">
      <w:pPr>
        <w:pStyle w:val="Sansinterligne"/>
        <w:jc w:val="right"/>
      </w:pPr>
      <w:r>
        <w:t>Claude COURVOISIER</w:t>
      </w:r>
    </w:p>
    <w:p w14:paraId="72F47B93" w14:textId="77777777" w:rsidR="001E3961" w:rsidRDefault="001E3961" w:rsidP="001E3961">
      <w:pPr>
        <w:pStyle w:val="Sansinterligne"/>
        <w:jc w:val="right"/>
      </w:pPr>
    </w:p>
    <w:sectPr w:rsidR="001E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400D"/>
    <w:multiLevelType w:val="hybridMultilevel"/>
    <w:tmpl w:val="839A1298"/>
    <w:lvl w:ilvl="0" w:tplc="EE8AC9E2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6ECA77B3"/>
    <w:multiLevelType w:val="hybridMultilevel"/>
    <w:tmpl w:val="A55E9632"/>
    <w:lvl w:ilvl="0" w:tplc="D68C6D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96833">
    <w:abstractNumId w:val="0"/>
  </w:num>
  <w:num w:numId="2" w16cid:durableId="16320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1"/>
    <w:rsid w:val="001E3961"/>
    <w:rsid w:val="00782B64"/>
    <w:rsid w:val="007E3170"/>
    <w:rsid w:val="00831400"/>
    <w:rsid w:val="00D446F1"/>
    <w:rsid w:val="00DB510C"/>
    <w:rsid w:val="00EC0733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2924E"/>
  <w15:chartTrackingRefBased/>
  <w15:docId w15:val="{4F41702F-85ED-423B-BE29-6A0D9D37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61"/>
    <w:pPr>
      <w:spacing w:after="200" w:line="276" w:lineRule="auto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7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961"/>
    <w:pPr>
      <w:spacing w:after="0" w:line="240" w:lineRule="auto"/>
    </w:pPr>
  </w:style>
  <w:style w:type="paragraph" w:customStyle="1" w:styleId="Paragraphe">
    <w:name w:val="Paragraphe"/>
    <w:basedOn w:val="Normal"/>
    <w:rsid w:val="001E3961"/>
    <w:pPr>
      <w:spacing w:before="120"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autoRedefine/>
    <w:semiHidden/>
    <w:rsid w:val="001E3961"/>
    <w:pPr>
      <w:suppressAutoHyphens/>
      <w:spacing w:after="0" w:line="240" w:lineRule="auto"/>
      <w:ind w:right="-284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E3961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1E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7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C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?cidTexte=JORFTEXT000000583573&amp;idArticle=LEGIARTI000006355738&amp;dateTexte=&amp;categorieLien=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4220&amp;idArticle=LEGIARTI000006832992&amp;dateTexte=&amp;categorieLien=c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?cidTexte=LEGITEXT000006070633&amp;idArticle=LEGIARTI000030999237&amp;dateTexte=&amp;categorieLien=c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egifrance.gouv.fr/affichTexteArticle.do?cidTexte=JORFTEXT000000215117&amp;idArticle=LEGIARTI000031022491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4069&amp;idArticle=LEGIARTI000031021940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Secrétariat 1</cp:lastModifiedBy>
  <cp:revision>2</cp:revision>
  <dcterms:created xsi:type="dcterms:W3CDTF">2022-06-17T09:17:00Z</dcterms:created>
  <dcterms:modified xsi:type="dcterms:W3CDTF">2022-06-17T09:17:00Z</dcterms:modified>
</cp:coreProperties>
</file>